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tabs>
          <w:tab w:val="left" w:pos="5670"/>
        </w:tabs>
        <w:spacing w:line="480" w:lineRule="auto"/>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r w:rsidRPr="00577B98">
        <w:rPr>
          <w:rFonts w:ascii="Times New Roman" w:hAnsi="Times New Roman" w:cs="Times New Roman"/>
          <w:sz w:val="24"/>
          <w:szCs w:val="24"/>
        </w:rPr>
        <w:t>Introduction to Finance</w:t>
      </w:r>
    </w:p>
    <w:p w:rsidR="00AF72A3" w:rsidRPr="00577B98" w:rsidRDefault="00AF72A3" w:rsidP="00AF72A3">
      <w:pPr>
        <w:spacing w:line="480" w:lineRule="auto"/>
        <w:jc w:val="center"/>
        <w:rPr>
          <w:rFonts w:ascii="Times New Roman" w:hAnsi="Times New Roman" w:cs="Times New Roman"/>
          <w:sz w:val="24"/>
          <w:szCs w:val="24"/>
        </w:rPr>
      </w:pPr>
      <w:r w:rsidRPr="00577B98">
        <w:rPr>
          <w:rFonts w:ascii="Times New Roman" w:hAnsi="Times New Roman" w:cs="Times New Roman"/>
          <w:sz w:val="24"/>
          <w:szCs w:val="24"/>
        </w:rPr>
        <w:t>Name</w:t>
      </w:r>
    </w:p>
    <w:p w:rsidR="00AF72A3" w:rsidRPr="00577B98" w:rsidRDefault="00AF72A3" w:rsidP="00AF72A3">
      <w:pPr>
        <w:spacing w:line="480" w:lineRule="auto"/>
        <w:jc w:val="center"/>
        <w:rPr>
          <w:rFonts w:ascii="Times New Roman" w:hAnsi="Times New Roman" w:cs="Times New Roman"/>
          <w:sz w:val="24"/>
          <w:szCs w:val="24"/>
        </w:rPr>
      </w:pPr>
      <w:r w:rsidRPr="00577B98">
        <w:rPr>
          <w:rFonts w:ascii="Times New Roman" w:hAnsi="Times New Roman" w:cs="Times New Roman"/>
          <w:sz w:val="24"/>
          <w:szCs w:val="24"/>
        </w:rPr>
        <w:t>Institution</w:t>
      </w:r>
    </w:p>
    <w:p w:rsidR="00AF72A3" w:rsidRPr="00577B98" w:rsidRDefault="00AF72A3" w:rsidP="00AF72A3">
      <w:pPr>
        <w:spacing w:line="480" w:lineRule="auto"/>
        <w:jc w:val="center"/>
        <w:rPr>
          <w:rFonts w:ascii="Times New Roman" w:hAnsi="Times New Roman" w:cs="Times New Roman"/>
          <w:sz w:val="24"/>
          <w:szCs w:val="24"/>
        </w:rPr>
      </w:pPr>
      <w:r w:rsidRPr="00577B98">
        <w:rPr>
          <w:rFonts w:ascii="Times New Roman" w:hAnsi="Times New Roman" w:cs="Times New Roman"/>
          <w:sz w:val="24"/>
          <w:szCs w:val="24"/>
        </w:rPr>
        <w:t>Date</w:t>
      </w: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Pr="00577B98" w:rsidRDefault="00AF72A3" w:rsidP="00AF72A3">
      <w:pPr>
        <w:spacing w:line="480" w:lineRule="auto"/>
        <w:jc w:val="center"/>
        <w:rPr>
          <w:rFonts w:ascii="Times New Roman" w:hAnsi="Times New Roman" w:cs="Times New Roman"/>
          <w:sz w:val="24"/>
          <w:szCs w:val="24"/>
        </w:rPr>
      </w:pPr>
    </w:p>
    <w:p w:rsidR="00AF72A3" w:rsidRDefault="00AF72A3" w:rsidP="00AF72A3">
      <w:pPr>
        <w:spacing w:line="480" w:lineRule="auto"/>
        <w:jc w:val="center"/>
        <w:rPr>
          <w:rFonts w:ascii="Times New Roman" w:hAnsi="Times New Roman" w:cs="Times New Roman"/>
          <w:sz w:val="24"/>
          <w:szCs w:val="24"/>
        </w:rPr>
      </w:pPr>
      <w:r w:rsidRPr="00577B98">
        <w:rPr>
          <w:rFonts w:ascii="Times New Roman" w:hAnsi="Times New Roman" w:cs="Times New Roman"/>
          <w:sz w:val="24"/>
          <w:szCs w:val="24"/>
        </w:rPr>
        <w:lastRenderedPageBreak/>
        <w:t>Introduction to Finance</w:t>
      </w:r>
    </w:p>
    <w:p w:rsidR="00044127" w:rsidRPr="00044127" w:rsidRDefault="00044127" w:rsidP="00AF72A3">
      <w:pPr>
        <w:spacing w:line="480" w:lineRule="auto"/>
        <w:jc w:val="center"/>
        <w:rPr>
          <w:rFonts w:ascii="Times New Roman" w:hAnsi="Times New Roman" w:cs="Times New Roman"/>
          <w:b/>
          <w:sz w:val="24"/>
          <w:szCs w:val="24"/>
        </w:rPr>
      </w:pPr>
      <w:r w:rsidRPr="00044127">
        <w:rPr>
          <w:rFonts w:ascii="Times New Roman" w:hAnsi="Times New Roman" w:cs="Times New Roman"/>
          <w:b/>
          <w:sz w:val="24"/>
          <w:szCs w:val="24"/>
        </w:rPr>
        <w:t>Question 1A.</w:t>
      </w:r>
    </w:p>
    <w:p w:rsidR="00044127" w:rsidRPr="00044127"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 xml:space="preserve">There are several avenues used by firms to offer managers an equity stake in a firm (Salvato, 2010). One of the main channels of offering managers an equity stake is through direct ownership of equity in the business over a given time period. Direct ownership makes the managers business partners, therefore, giving them the right to vote on important decisions and collecting shares of profits of the firm's business. </w:t>
      </w:r>
    </w:p>
    <w:p w:rsidR="00044127" w:rsidRPr="00044127"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Synthetic equity is another avenue that involves distributing stock appreciation rights. Synthetic equity involves giving the managers the right to stock appreciation from the moment they are granted the stock appreciation right. Equity funding can also be used as the right avenue to offer managers an equity stake by generating sales of stoke shares (Salvato, 2010). The company can provide an equity stake to managers by providing them preferred shares and common shares. The managers won't be required to repay shareholder investment since the returns emanates typically from the payment of dividends and stock valuation. The preferred shares offered to managers are less costly than debt capital since the managers won't be asked to payback as required by law.</w:t>
      </w:r>
    </w:p>
    <w:p w:rsidR="00044127" w:rsidRPr="00044127"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Pension funds and insurance is another avenue of offering managers equity stake in a firm. Pension funds enable managers to maintain and provide liquidity options in the financial market of the company (Salvato, 2010). Insurance helps in heightening activities of the firm by enhancing more investments in smaller and large markets since the managers can control the liquidity of the finances in the firm (Salvato, 2010). Pension funds and insurance ensures the equity shares are well innovated in the firm and managers remain interested in seeking ways to tap capital to fund other investments of the firm.</w:t>
      </w:r>
    </w:p>
    <w:p w:rsidR="00044127" w:rsidRPr="00044127" w:rsidRDefault="00044127" w:rsidP="00044127">
      <w:pPr>
        <w:spacing w:line="480" w:lineRule="auto"/>
        <w:ind w:firstLine="720"/>
        <w:jc w:val="center"/>
        <w:rPr>
          <w:rFonts w:ascii="Times New Roman" w:hAnsi="Times New Roman" w:cs="Times New Roman"/>
          <w:b/>
          <w:sz w:val="24"/>
          <w:szCs w:val="24"/>
        </w:rPr>
      </w:pPr>
      <w:r w:rsidRPr="00044127">
        <w:rPr>
          <w:rFonts w:ascii="Times New Roman" w:hAnsi="Times New Roman" w:cs="Times New Roman"/>
          <w:b/>
          <w:sz w:val="24"/>
          <w:szCs w:val="24"/>
        </w:rPr>
        <w:lastRenderedPageBreak/>
        <w:t>Question 1B.</w:t>
      </w:r>
    </w:p>
    <w:p w:rsidR="00044127" w:rsidRPr="00044127"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Earnings management becomes an ethical consideration when there is a continued publicized financial failure and creation of emphasis by accounting professionals on earnings management (Apostolou, 2013). It is considered an ethical consideration when a firm's management does not get involved in the manipulation of its financial earnings. The data about financial earnings is very reliable since management cannot manipulate financial earnings by changing accounting records. The absence of earnings management doesn't offer any guarantee towards high earnings in a firm (Apostolou, 2013). The ethical concept of earnings management involves increasing wealth through public offerings and controlling the business outcomes of the firm.</w:t>
      </w:r>
    </w:p>
    <w:p w:rsidR="00044127" w:rsidRPr="00044127"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Also, earnings management becomes an ethical consideration when managers tend to rationalize earnings management as evil or the right thing in a firm (Apostolou, 2013). Ethics are considered to be involved in earnings management when the period earnings of a firm start to conquer the expectations and triggering bonuses for workers. When a firm's manager becomes aware of a failure in meeting the expected financial earnings and paying bonuses to the workers, then it causes ethical damage to the shareholder value and the worker's morale. Ethicality of earnings management influences the perceptions of managers (Apostolou, 2013). Sometimes managers tend to face pressures that incentivize them to engage in financial earnings hence striving to meet their earnings expectations.</w:t>
      </w:r>
    </w:p>
    <w:p w:rsidR="00044127" w:rsidRPr="00044127"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 xml:space="preserve">Moreover, earnings management becomes an ethical consideration when managers are flexible in choosing the necessary accounting policies that lead to their opportunistic behaviour in maximizing their utilities (Apostolou, 2013). When managers act on their interests to acquire bonuses and utilizing information to maximize their personal wealth, it is considered unethical. Managers who offer financial information to outsiders to attract </w:t>
      </w:r>
      <w:r w:rsidRPr="00044127">
        <w:rPr>
          <w:rFonts w:ascii="Times New Roman" w:hAnsi="Times New Roman" w:cs="Times New Roman"/>
          <w:sz w:val="24"/>
          <w:szCs w:val="24"/>
        </w:rPr>
        <w:lastRenderedPageBreak/>
        <w:t>investors stand no chance to be ethical (Apostolou, 2013). Therefore, managers should provide accurate information to shareholders and members of a company in order to be considered ethical.</w:t>
      </w:r>
    </w:p>
    <w:p w:rsidR="00044127" w:rsidRPr="00044127" w:rsidRDefault="00044127" w:rsidP="00044127">
      <w:pPr>
        <w:spacing w:line="480" w:lineRule="auto"/>
        <w:ind w:firstLine="720"/>
        <w:jc w:val="center"/>
        <w:rPr>
          <w:rFonts w:ascii="Times New Roman" w:hAnsi="Times New Roman" w:cs="Times New Roman"/>
          <w:b/>
          <w:sz w:val="24"/>
          <w:szCs w:val="24"/>
        </w:rPr>
      </w:pPr>
      <w:r w:rsidRPr="00044127">
        <w:rPr>
          <w:rFonts w:ascii="Times New Roman" w:hAnsi="Times New Roman" w:cs="Times New Roman"/>
          <w:b/>
          <w:sz w:val="24"/>
          <w:szCs w:val="24"/>
        </w:rPr>
        <w:t>Question 1C.</w:t>
      </w:r>
    </w:p>
    <w:p w:rsidR="00044127" w:rsidRPr="00044127"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 xml:space="preserve">Market value is more important to an investor than the book value because it sees no reason to believe the assets of the company are good or bad than the information stated on a balance sheet (Maditinos et al., 2011). Market value is critical because it enables an investor to know the firms that have made profits in a particular period of time. Through the market value, an investor has confidence in the firm's ability to create revenue growth and earnings growth. </w:t>
      </w:r>
    </w:p>
    <w:p w:rsidR="00044127" w:rsidRPr="00044127"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In addition, market value enables an investor to understand the size of a firm versus another. The market value is important because it enables an investor to understand and use market and trading strategies. Therefore, an investor is able to avoid financial losses and increase the chances of securing market gains (Maditinos et al, 2011).</w:t>
      </w:r>
    </w:p>
    <w:p w:rsidR="00044127" w:rsidRPr="00044127" w:rsidRDefault="00044127" w:rsidP="00044127">
      <w:pPr>
        <w:spacing w:line="480" w:lineRule="auto"/>
        <w:ind w:firstLine="720"/>
        <w:jc w:val="center"/>
        <w:rPr>
          <w:rFonts w:ascii="Times New Roman" w:hAnsi="Times New Roman" w:cs="Times New Roman"/>
          <w:b/>
          <w:sz w:val="24"/>
          <w:szCs w:val="24"/>
        </w:rPr>
      </w:pPr>
      <w:r w:rsidRPr="00044127">
        <w:rPr>
          <w:rFonts w:ascii="Times New Roman" w:hAnsi="Times New Roman" w:cs="Times New Roman"/>
          <w:b/>
          <w:sz w:val="24"/>
          <w:szCs w:val="24"/>
        </w:rPr>
        <w:t>Question 1D.</w:t>
      </w:r>
    </w:p>
    <w:p w:rsidR="005D5885" w:rsidRDefault="00044127" w:rsidP="00044127">
      <w:pPr>
        <w:spacing w:line="480" w:lineRule="auto"/>
        <w:ind w:firstLine="720"/>
        <w:rPr>
          <w:rFonts w:ascii="Times New Roman" w:hAnsi="Times New Roman" w:cs="Times New Roman"/>
          <w:sz w:val="24"/>
          <w:szCs w:val="24"/>
        </w:rPr>
      </w:pPr>
      <w:r w:rsidRPr="00044127">
        <w:rPr>
          <w:rFonts w:ascii="Times New Roman" w:hAnsi="Times New Roman" w:cs="Times New Roman"/>
          <w:sz w:val="24"/>
          <w:szCs w:val="24"/>
        </w:rPr>
        <w:t xml:space="preserve">Free cash flow for a firm is the available cash required to pay investors after a firm pays its business costs, investing in short term assets and long term assets (Salvato, 2010). Free cash flow measures the profitability of the firm after expenses. It is used as a benchmark in comparing and analyzing the financial health of the firm. When the free cash flow of a firm is negative, it shows its inability to generate adequate cash to support the firm's business. Sometimes, negative cash flow does not indicate losses since it could be a mismatch between income and expenditure. A negative cash flow suggests that a firm doesn't have any </w:t>
      </w:r>
      <w:r w:rsidRPr="00044127">
        <w:rPr>
          <w:rFonts w:ascii="Times New Roman" w:hAnsi="Times New Roman" w:cs="Times New Roman"/>
          <w:sz w:val="24"/>
          <w:szCs w:val="24"/>
        </w:rPr>
        <w:lastRenderedPageBreak/>
        <w:t>remaining cash after expenses hence indicating the firm doesn't generate adequate revenue to cover costs and business activities.</w:t>
      </w:r>
    </w:p>
    <w:p w:rsidR="005D5885" w:rsidRDefault="005D5885" w:rsidP="00044127">
      <w:pPr>
        <w:spacing w:line="480" w:lineRule="auto"/>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44127" w:rsidRDefault="00044127" w:rsidP="00AF72A3">
      <w:pPr>
        <w:spacing w:line="480" w:lineRule="auto"/>
        <w:jc w:val="center"/>
        <w:rPr>
          <w:rFonts w:ascii="Times New Roman" w:hAnsi="Times New Roman" w:cs="Times New Roman"/>
          <w:sz w:val="24"/>
          <w:szCs w:val="24"/>
        </w:rPr>
      </w:pPr>
    </w:p>
    <w:p w:rsidR="000C011F" w:rsidRPr="00577B98" w:rsidRDefault="000C011F" w:rsidP="00AF72A3">
      <w:pPr>
        <w:spacing w:line="480" w:lineRule="auto"/>
        <w:jc w:val="center"/>
        <w:rPr>
          <w:rFonts w:ascii="Times New Roman" w:hAnsi="Times New Roman" w:cs="Times New Roman"/>
          <w:sz w:val="24"/>
          <w:szCs w:val="24"/>
        </w:rPr>
      </w:pPr>
      <w:r w:rsidRPr="00577B98">
        <w:rPr>
          <w:rFonts w:ascii="Times New Roman" w:hAnsi="Times New Roman" w:cs="Times New Roman"/>
          <w:sz w:val="24"/>
          <w:szCs w:val="24"/>
        </w:rPr>
        <w:lastRenderedPageBreak/>
        <w:t>References</w:t>
      </w:r>
    </w:p>
    <w:p w:rsidR="00AF72A3" w:rsidRPr="00577B98" w:rsidRDefault="00AF72A3" w:rsidP="00AF72A3">
      <w:pPr>
        <w:spacing w:line="480" w:lineRule="auto"/>
        <w:ind w:left="720" w:hanging="720"/>
        <w:rPr>
          <w:rFonts w:ascii="Times New Roman" w:hAnsi="Times New Roman" w:cs="Times New Roman"/>
          <w:sz w:val="24"/>
          <w:szCs w:val="24"/>
          <w:shd w:val="clear" w:color="auto" w:fill="FFFFFF"/>
        </w:rPr>
      </w:pPr>
      <w:r w:rsidRPr="00577B98">
        <w:rPr>
          <w:rFonts w:ascii="Times New Roman" w:hAnsi="Times New Roman" w:cs="Times New Roman"/>
          <w:sz w:val="24"/>
          <w:szCs w:val="24"/>
          <w:shd w:val="clear" w:color="auto" w:fill="FFFFFF"/>
        </w:rPr>
        <w:t>Apostolou, B., Dull, R. B., &amp; Schleifer, L. L. (2013). A framework for the pedagogy of accounting ethics. </w:t>
      </w:r>
      <w:r w:rsidRPr="00577B98">
        <w:rPr>
          <w:rFonts w:ascii="Times New Roman" w:hAnsi="Times New Roman" w:cs="Times New Roman"/>
          <w:i/>
          <w:iCs/>
          <w:sz w:val="24"/>
          <w:szCs w:val="24"/>
          <w:shd w:val="clear" w:color="auto" w:fill="FFFFFF"/>
        </w:rPr>
        <w:t>Accounting Education</w:t>
      </w:r>
      <w:r w:rsidRPr="00577B98">
        <w:rPr>
          <w:rFonts w:ascii="Times New Roman" w:hAnsi="Times New Roman" w:cs="Times New Roman"/>
          <w:sz w:val="24"/>
          <w:szCs w:val="24"/>
          <w:shd w:val="clear" w:color="auto" w:fill="FFFFFF"/>
        </w:rPr>
        <w:t>, </w:t>
      </w:r>
      <w:r w:rsidRPr="00577B98">
        <w:rPr>
          <w:rFonts w:ascii="Times New Roman" w:hAnsi="Times New Roman" w:cs="Times New Roman"/>
          <w:i/>
          <w:iCs/>
          <w:sz w:val="24"/>
          <w:szCs w:val="24"/>
          <w:shd w:val="clear" w:color="auto" w:fill="FFFFFF"/>
        </w:rPr>
        <w:t>22</w:t>
      </w:r>
      <w:r w:rsidRPr="00577B98">
        <w:rPr>
          <w:rFonts w:ascii="Times New Roman" w:hAnsi="Times New Roman" w:cs="Times New Roman"/>
          <w:sz w:val="24"/>
          <w:szCs w:val="24"/>
          <w:shd w:val="clear" w:color="auto" w:fill="FFFFFF"/>
        </w:rPr>
        <w:t>(1), 1-17.</w:t>
      </w:r>
    </w:p>
    <w:p w:rsidR="00AF72A3" w:rsidRPr="00577B98" w:rsidRDefault="00AF72A3" w:rsidP="00AF72A3">
      <w:pPr>
        <w:spacing w:line="480" w:lineRule="auto"/>
        <w:ind w:left="720" w:hanging="720"/>
        <w:rPr>
          <w:rFonts w:ascii="Times New Roman" w:hAnsi="Times New Roman" w:cs="Times New Roman"/>
          <w:sz w:val="24"/>
          <w:szCs w:val="24"/>
          <w:shd w:val="clear" w:color="auto" w:fill="FFFFFF"/>
        </w:rPr>
      </w:pPr>
      <w:r w:rsidRPr="00577B98">
        <w:rPr>
          <w:rFonts w:ascii="Times New Roman" w:hAnsi="Times New Roman" w:cs="Times New Roman"/>
          <w:sz w:val="24"/>
          <w:szCs w:val="24"/>
          <w:shd w:val="clear" w:color="auto" w:fill="FFFFFF"/>
        </w:rPr>
        <w:t>Dickinson, V. (2011). Cash flow patterns as a proxy for firm life cycle. </w:t>
      </w:r>
      <w:r w:rsidRPr="00577B98">
        <w:rPr>
          <w:rFonts w:ascii="Times New Roman" w:hAnsi="Times New Roman" w:cs="Times New Roman"/>
          <w:i/>
          <w:iCs/>
          <w:sz w:val="24"/>
          <w:szCs w:val="24"/>
          <w:shd w:val="clear" w:color="auto" w:fill="FFFFFF"/>
        </w:rPr>
        <w:t>The Accounting Review</w:t>
      </w:r>
      <w:r w:rsidRPr="00577B98">
        <w:rPr>
          <w:rFonts w:ascii="Times New Roman" w:hAnsi="Times New Roman" w:cs="Times New Roman"/>
          <w:sz w:val="24"/>
          <w:szCs w:val="24"/>
          <w:shd w:val="clear" w:color="auto" w:fill="FFFFFF"/>
        </w:rPr>
        <w:t>, </w:t>
      </w:r>
      <w:r w:rsidRPr="00577B98">
        <w:rPr>
          <w:rFonts w:ascii="Times New Roman" w:hAnsi="Times New Roman" w:cs="Times New Roman"/>
          <w:i/>
          <w:iCs/>
          <w:sz w:val="24"/>
          <w:szCs w:val="24"/>
          <w:shd w:val="clear" w:color="auto" w:fill="FFFFFF"/>
        </w:rPr>
        <w:t>86</w:t>
      </w:r>
      <w:r w:rsidRPr="00577B98">
        <w:rPr>
          <w:rFonts w:ascii="Times New Roman" w:hAnsi="Times New Roman" w:cs="Times New Roman"/>
          <w:sz w:val="24"/>
          <w:szCs w:val="24"/>
          <w:shd w:val="clear" w:color="auto" w:fill="FFFFFF"/>
        </w:rPr>
        <w:t>(6), 1969-1994.</w:t>
      </w:r>
    </w:p>
    <w:p w:rsidR="000C011F" w:rsidRPr="00577B98" w:rsidRDefault="000C011F" w:rsidP="00AF72A3">
      <w:pPr>
        <w:spacing w:line="480" w:lineRule="auto"/>
        <w:ind w:left="720" w:hanging="720"/>
        <w:rPr>
          <w:rFonts w:ascii="Times New Roman" w:hAnsi="Times New Roman" w:cs="Times New Roman"/>
          <w:sz w:val="24"/>
          <w:szCs w:val="24"/>
          <w:shd w:val="clear" w:color="auto" w:fill="FFFFFF"/>
        </w:rPr>
      </w:pPr>
      <w:r w:rsidRPr="00577B98">
        <w:rPr>
          <w:rFonts w:ascii="Times New Roman" w:hAnsi="Times New Roman" w:cs="Times New Roman"/>
          <w:sz w:val="24"/>
          <w:szCs w:val="24"/>
          <w:shd w:val="clear" w:color="auto" w:fill="FFFFFF"/>
        </w:rPr>
        <w:t>Maditinos, D., Chatzoudes, D., Tsairidis, C., &amp; Theriou, G. (2011). The impact of intellectual capital on firms' market value and financial performance. </w:t>
      </w:r>
      <w:r w:rsidRPr="00577B98">
        <w:rPr>
          <w:rFonts w:ascii="Times New Roman" w:hAnsi="Times New Roman" w:cs="Times New Roman"/>
          <w:i/>
          <w:iCs/>
          <w:sz w:val="24"/>
          <w:szCs w:val="24"/>
          <w:shd w:val="clear" w:color="auto" w:fill="FFFFFF"/>
        </w:rPr>
        <w:t>Journal of intellectual capital</w:t>
      </w:r>
      <w:r w:rsidRPr="00577B98">
        <w:rPr>
          <w:rFonts w:ascii="Times New Roman" w:hAnsi="Times New Roman" w:cs="Times New Roman"/>
          <w:sz w:val="24"/>
          <w:szCs w:val="24"/>
          <w:shd w:val="clear" w:color="auto" w:fill="FFFFFF"/>
        </w:rPr>
        <w:t>, </w:t>
      </w:r>
      <w:r w:rsidRPr="00577B98">
        <w:rPr>
          <w:rFonts w:ascii="Times New Roman" w:hAnsi="Times New Roman" w:cs="Times New Roman"/>
          <w:i/>
          <w:iCs/>
          <w:sz w:val="24"/>
          <w:szCs w:val="24"/>
          <w:shd w:val="clear" w:color="auto" w:fill="FFFFFF"/>
        </w:rPr>
        <w:t>12</w:t>
      </w:r>
      <w:r w:rsidRPr="00577B98">
        <w:rPr>
          <w:rFonts w:ascii="Times New Roman" w:hAnsi="Times New Roman" w:cs="Times New Roman"/>
          <w:sz w:val="24"/>
          <w:szCs w:val="24"/>
          <w:shd w:val="clear" w:color="auto" w:fill="FFFFFF"/>
        </w:rPr>
        <w:t>(1), 132-151.</w:t>
      </w:r>
    </w:p>
    <w:p w:rsidR="000C011F" w:rsidRPr="00577B98" w:rsidRDefault="00AF72A3" w:rsidP="00AF72A3">
      <w:pPr>
        <w:spacing w:line="480" w:lineRule="auto"/>
        <w:ind w:left="720" w:hanging="720"/>
        <w:rPr>
          <w:rFonts w:ascii="Times New Roman" w:hAnsi="Times New Roman" w:cs="Times New Roman"/>
          <w:sz w:val="24"/>
          <w:szCs w:val="24"/>
          <w:shd w:val="clear" w:color="auto" w:fill="FFFFFF"/>
        </w:rPr>
      </w:pPr>
      <w:r w:rsidRPr="00577B98">
        <w:rPr>
          <w:rFonts w:ascii="Times New Roman" w:hAnsi="Times New Roman" w:cs="Times New Roman"/>
          <w:sz w:val="24"/>
          <w:szCs w:val="24"/>
          <w:shd w:val="clear" w:color="auto" w:fill="FFFFFF"/>
        </w:rPr>
        <w:t>Salvato, C., &amp; Moores, K. (2010). Research on accounting in family firms: Past accomplishments and future challenges.</w:t>
      </w:r>
    </w:p>
    <w:sectPr w:rsidR="000C011F" w:rsidRPr="00577B98" w:rsidSect="00AF72A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929" w:rsidRDefault="00AC7929" w:rsidP="00AF72A3">
      <w:pPr>
        <w:spacing w:after="0" w:line="240" w:lineRule="auto"/>
      </w:pPr>
      <w:r>
        <w:separator/>
      </w:r>
    </w:p>
  </w:endnote>
  <w:endnote w:type="continuationSeparator" w:id="1">
    <w:p w:rsidR="00AC7929" w:rsidRDefault="00AC7929" w:rsidP="00AF72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929" w:rsidRDefault="00AC7929" w:rsidP="00AF72A3">
      <w:pPr>
        <w:spacing w:after="0" w:line="240" w:lineRule="auto"/>
      </w:pPr>
      <w:r>
        <w:separator/>
      </w:r>
    </w:p>
  </w:footnote>
  <w:footnote w:type="continuationSeparator" w:id="1">
    <w:p w:rsidR="00AC7929" w:rsidRDefault="00AC7929" w:rsidP="00AF72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A3" w:rsidRPr="00AF72A3" w:rsidRDefault="00AF72A3">
    <w:pPr>
      <w:pStyle w:val="Header"/>
      <w:jc w:val="right"/>
      <w:rPr>
        <w:rFonts w:ascii="Times New Roman" w:hAnsi="Times New Roman" w:cs="Times New Roman"/>
        <w:sz w:val="24"/>
        <w:szCs w:val="24"/>
      </w:rPr>
    </w:pPr>
    <w:r w:rsidRPr="00AF72A3">
      <w:rPr>
        <w:rFonts w:ascii="Times New Roman" w:hAnsi="Times New Roman" w:cs="Times New Roman"/>
        <w:sz w:val="24"/>
        <w:szCs w:val="24"/>
      </w:rPr>
      <w:t>INTRODUCTION TO FINANCE</w:t>
    </w:r>
    <w:r w:rsidRPr="00AF72A3">
      <w:rPr>
        <w:rFonts w:ascii="Times New Roman" w:hAnsi="Times New Roman" w:cs="Times New Roman"/>
        <w:sz w:val="24"/>
        <w:szCs w:val="24"/>
      </w:rPr>
      <w:tab/>
    </w:r>
    <w:r w:rsidRPr="00AF72A3">
      <w:rPr>
        <w:rFonts w:ascii="Times New Roman" w:hAnsi="Times New Roman" w:cs="Times New Roman"/>
        <w:sz w:val="24"/>
        <w:szCs w:val="24"/>
      </w:rPr>
      <w:tab/>
    </w:r>
    <w:sdt>
      <w:sdtPr>
        <w:rPr>
          <w:rFonts w:ascii="Times New Roman" w:hAnsi="Times New Roman" w:cs="Times New Roman"/>
          <w:sz w:val="24"/>
          <w:szCs w:val="24"/>
        </w:rPr>
        <w:id w:val="54467961"/>
        <w:docPartObj>
          <w:docPartGallery w:val="Page Numbers (Top of Page)"/>
          <w:docPartUnique/>
        </w:docPartObj>
      </w:sdtPr>
      <w:sdtContent>
        <w:r w:rsidR="002B31A9" w:rsidRPr="00AF72A3">
          <w:rPr>
            <w:rFonts w:ascii="Times New Roman" w:hAnsi="Times New Roman" w:cs="Times New Roman"/>
            <w:sz w:val="24"/>
            <w:szCs w:val="24"/>
          </w:rPr>
          <w:fldChar w:fldCharType="begin"/>
        </w:r>
        <w:r w:rsidRPr="00AF72A3">
          <w:rPr>
            <w:rFonts w:ascii="Times New Roman" w:hAnsi="Times New Roman" w:cs="Times New Roman"/>
            <w:sz w:val="24"/>
            <w:szCs w:val="24"/>
          </w:rPr>
          <w:instrText xml:space="preserve"> PAGE   \* MERGEFORMAT </w:instrText>
        </w:r>
        <w:r w:rsidR="002B31A9" w:rsidRPr="00AF72A3">
          <w:rPr>
            <w:rFonts w:ascii="Times New Roman" w:hAnsi="Times New Roman" w:cs="Times New Roman"/>
            <w:sz w:val="24"/>
            <w:szCs w:val="24"/>
          </w:rPr>
          <w:fldChar w:fldCharType="separate"/>
        </w:r>
        <w:r w:rsidR="0084777C">
          <w:rPr>
            <w:rFonts w:ascii="Times New Roman" w:hAnsi="Times New Roman" w:cs="Times New Roman"/>
            <w:noProof/>
            <w:sz w:val="24"/>
            <w:szCs w:val="24"/>
          </w:rPr>
          <w:t>6</w:t>
        </w:r>
        <w:r w:rsidR="002B31A9" w:rsidRPr="00AF72A3">
          <w:rPr>
            <w:rFonts w:ascii="Times New Roman" w:hAnsi="Times New Roman" w:cs="Times New Roman"/>
            <w:sz w:val="24"/>
            <w:szCs w:val="24"/>
          </w:rPr>
          <w:fldChar w:fldCharType="end"/>
        </w:r>
      </w:sdtContent>
    </w:sdt>
  </w:p>
  <w:p w:rsidR="00AF72A3" w:rsidRDefault="00AF72A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A3" w:rsidRPr="00AF72A3" w:rsidRDefault="00AF72A3">
    <w:pPr>
      <w:pStyle w:val="Header"/>
      <w:jc w:val="right"/>
      <w:rPr>
        <w:rFonts w:ascii="Times New Roman" w:hAnsi="Times New Roman" w:cs="Times New Roman"/>
        <w:sz w:val="24"/>
        <w:szCs w:val="24"/>
      </w:rPr>
    </w:pPr>
    <w:r w:rsidRPr="00AF72A3">
      <w:rPr>
        <w:rFonts w:ascii="Times New Roman" w:hAnsi="Times New Roman" w:cs="Times New Roman"/>
        <w:sz w:val="24"/>
        <w:szCs w:val="24"/>
      </w:rPr>
      <w:t>Running Head: INTRODUCTION TO FINANCE</w:t>
    </w:r>
    <w:r w:rsidRPr="00AF72A3">
      <w:rPr>
        <w:rFonts w:ascii="Times New Roman" w:hAnsi="Times New Roman" w:cs="Times New Roman"/>
        <w:sz w:val="24"/>
        <w:szCs w:val="24"/>
      </w:rPr>
      <w:tab/>
    </w:r>
    <w:r w:rsidRPr="00AF72A3">
      <w:rPr>
        <w:rFonts w:ascii="Times New Roman" w:hAnsi="Times New Roman" w:cs="Times New Roman"/>
        <w:sz w:val="24"/>
        <w:szCs w:val="24"/>
      </w:rPr>
      <w:tab/>
    </w:r>
    <w:sdt>
      <w:sdtPr>
        <w:rPr>
          <w:rFonts w:ascii="Times New Roman" w:hAnsi="Times New Roman" w:cs="Times New Roman"/>
          <w:sz w:val="24"/>
          <w:szCs w:val="24"/>
        </w:rPr>
        <w:id w:val="54467906"/>
        <w:docPartObj>
          <w:docPartGallery w:val="Page Numbers (Top of Page)"/>
          <w:docPartUnique/>
        </w:docPartObj>
      </w:sdtPr>
      <w:sdtContent>
        <w:r w:rsidR="002B31A9" w:rsidRPr="00AF72A3">
          <w:rPr>
            <w:rFonts w:ascii="Times New Roman" w:hAnsi="Times New Roman" w:cs="Times New Roman"/>
            <w:sz w:val="24"/>
            <w:szCs w:val="24"/>
          </w:rPr>
          <w:fldChar w:fldCharType="begin"/>
        </w:r>
        <w:r w:rsidRPr="00AF72A3">
          <w:rPr>
            <w:rFonts w:ascii="Times New Roman" w:hAnsi="Times New Roman" w:cs="Times New Roman"/>
            <w:sz w:val="24"/>
            <w:szCs w:val="24"/>
          </w:rPr>
          <w:instrText xml:space="preserve"> PAGE   \* MERGEFORMAT </w:instrText>
        </w:r>
        <w:r w:rsidR="002B31A9" w:rsidRPr="00AF72A3">
          <w:rPr>
            <w:rFonts w:ascii="Times New Roman" w:hAnsi="Times New Roman" w:cs="Times New Roman"/>
            <w:sz w:val="24"/>
            <w:szCs w:val="24"/>
          </w:rPr>
          <w:fldChar w:fldCharType="separate"/>
        </w:r>
        <w:r w:rsidR="0084777C">
          <w:rPr>
            <w:rFonts w:ascii="Times New Roman" w:hAnsi="Times New Roman" w:cs="Times New Roman"/>
            <w:noProof/>
            <w:sz w:val="24"/>
            <w:szCs w:val="24"/>
          </w:rPr>
          <w:t>1</w:t>
        </w:r>
        <w:r w:rsidR="002B31A9" w:rsidRPr="00AF72A3">
          <w:rPr>
            <w:rFonts w:ascii="Times New Roman" w:hAnsi="Times New Roman" w:cs="Times New Roman"/>
            <w:sz w:val="24"/>
            <w:szCs w:val="24"/>
          </w:rPr>
          <w:fldChar w:fldCharType="end"/>
        </w:r>
      </w:sdtContent>
    </w:sdt>
  </w:p>
  <w:p w:rsidR="00AF72A3" w:rsidRPr="00AF72A3" w:rsidRDefault="00AF72A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0553"/>
    <w:multiLevelType w:val="hybridMultilevel"/>
    <w:tmpl w:val="EF5A12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6F4CC2"/>
    <w:multiLevelType w:val="hybridMultilevel"/>
    <w:tmpl w:val="EFA676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7B42446"/>
    <w:multiLevelType w:val="hybridMultilevel"/>
    <w:tmpl w:val="272626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70F2F"/>
    <w:rsid w:val="00031F6E"/>
    <w:rsid w:val="00044127"/>
    <w:rsid w:val="000C011F"/>
    <w:rsid w:val="00150425"/>
    <w:rsid w:val="00165294"/>
    <w:rsid w:val="001F0191"/>
    <w:rsid w:val="002B31A9"/>
    <w:rsid w:val="00303E75"/>
    <w:rsid w:val="00343BAD"/>
    <w:rsid w:val="00386CE4"/>
    <w:rsid w:val="00577B98"/>
    <w:rsid w:val="005D5885"/>
    <w:rsid w:val="006E4D73"/>
    <w:rsid w:val="00750EB6"/>
    <w:rsid w:val="007F4008"/>
    <w:rsid w:val="0084777C"/>
    <w:rsid w:val="00874C0C"/>
    <w:rsid w:val="00884EE6"/>
    <w:rsid w:val="008B14EF"/>
    <w:rsid w:val="00927ED5"/>
    <w:rsid w:val="00A12FB5"/>
    <w:rsid w:val="00AC7929"/>
    <w:rsid w:val="00AF72A3"/>
    <w:rsid w:val="00B125D3"/>
    <w:rsid w:val="00C74CEE"/>
    <w:rsid w:val="00C840B7"/>
    <w:rsid w:val="00D36A4F"/>
    <w:rsid w:val="00D70F2F"/>
    <w:rsid w:val="00EB3436"/>
    <w:rsid w:val="00F436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E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72A3"/>
    <w:pPr>
      <w:ind w:left="720"/>
      <w:contextualSpacing/>
    </w:pPr>
  </w:style>
  <w:style w:type="paragraph" w:styleId="Header">
    <w:name w:val="header"/>
    <w:basedOn w:val="Normal"/>
    <w:link w:val="HeaderChar"/>
    <w:uiPriority w:val="99"/>
    <w:unhideWhenUsed/>
    <w:rsid w:val="00AF7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2A3"/>
  </w:style>
  <w:style w:type="paragraph" w:styleId="Footer">
    <w:name w:val="footer"/>
    <w:basedOn w:val="Normal"/>
    <w:link w:val="FooterChar"/>
    <w:uiPriority w:val="99"/>
    <w:semiHidden/>
    <w:unhideWhenUsed/>
    <w:rsid w:val="00AF72A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F72A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2019-04-09T09:44:00Z</dcterms:created>
  <dcterms:modified xsi:type="dcterms:W3CDTF">2019-04-09T09:44:00Z</dcterms:modified>
</cp:coreProperties>
</file>